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E6C7" w14:textId="77777777" w:rsidR="00162451" w:rsidRDefault="00162451" w:rsidP="00B2321C">
      <w:pPr>
        <w:rPr>
          <w:i/>
          <w:iCs/>
          <w:sz w:val="28"/>
          <w:szCs w:val="28"/>
        </w:rPr>
      </w:pPr>
    </w:p>
    <w:p w14:paraId="7342F599" w14:textId="26172750" w:rsidR="00203A12" w:rsidRPr="00C026FE" w:rsidRDefault="00171599" w:rsidP="00B2321C">
      <w:pPr>
        <w:rPr>
          <w:i/>
          <w:iCs/>
          <w:sz w:val="28"/>
          <w:szCs w:val="28"/>
          <w:lang w:val="it-IT"/>
        </w:rPr>
      </w:pPr>
      <w:r w:rsidRPr="00C026FE">
        <w:rPr>
          <w:i/>
          <w:iCs/>
          <w:sz w:val="28"/>
          <w:szCs w:val="28"/>
          <w:lang w:val="it-IT"/>
        </w:rPr>
        <w:t xml:space="preserve">Press release </w:t>
      </w:r>
    </w:p>
    <w:p w14:paraId="7C7C0A66" w14:textId="77777777" w:rsidR="00171599" w:rsidRPr="00C026FE" w:rsidRDefault="00171599" w:rsidP="00B2321C">
      <w:pPr>
        <w:rPr>
          <w:color w:val="22315F"/>
          <w:sz w:val="28"/>
          <w:szCs w:val="28"/>
          <w:lang w:val="it-IT"/>
        </w:rPr>
      </w:pPr>
    </w:p>
    <w:p w14:paraId="35881769" w14:textId="77777777" w:rsidR="00171599" w:rsidRPr="00C026FE" w:rsidRDefault="00171599" w:rsidP="00B2321C">
      <w:pPr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19157AFF" w14:textId="5502694D" w:rsidR="00504FDB" w:rsidRPr="00504FDB" w:rsidRDefault="00171599" w:rsidP="00171599">
      <w:pPr>
        <w:rPr>
          <w:color w:val="22315F"/>
          <w:sz w:val="44"/>
          <w:szCs w:val="44"/>
          <w:lang w:val="it-IT"/>
        </w:rPr>
      </w:pPr>
      <w:r w:rsidRPr="00504FDB">
        <w:rPr>
          <w:color w:val="22315F"/>
          <w:sz w:val="44"/>
          <w:szCs w:val="44"/>
          <w:lang w:val="it-IT"/>
        </w:rPr>
        <w:t>DeStalk</w:t>
      </w:r>
      <w:r w:rsidR="00504FDB" w:rsidRPr="00504FDB">
        <w:rPr>
          <w:color w:val="22315F"/>
          <w:sz w:val="44"/>
          <w:szCs w:val="44"/>
          <w:lang w:val="it-IT"/>
        </w:rPr>
        <w:t>: è online il c</w:t>
      </w:r>
      <w:r w:rsidR="00504FDB">
        <w:rPr>
          <w:color w:val="22315F"/>
          <w:sz w:val="44"/>
          <w:szCs w:val="44"/>
          <w:lang w:val="it-IT"/>
        </w:rPr>
        <w:t>orso e-learning su violenza e stalkerware dedicato ai professionisti del settore</w:t>
      </w:r>
    </w:p>
    <w:p w14:paraId="75154597" w14:textId="256ECCB5" w:rsidR="00171599" w:rsidRPr="00C026FE" w:rsidRDefault="00171599" w:rsidP="00171599">
      <w:pPr>
        <w:rPr>
          <w:color w:val="22315F"/>
          <w:sz w:val="48"/>
          <w:szCs w:val="48"/>
          <w:lang w:val="it-IT"/>
        </w:rPr>
      </w:pPr>
    </w:p>
    <w:p w14:paraId="26B010F3" w14:textId="22A30979" w:rsidR="00504FDB" w:rsidRPr="00504FDB" w:rsidRDefault="00504FDB" w:rsidP="00C026FE">
      <w:pPr>
        <w:spacing w:line="360" w:lineRule="auto"/>
        <w:ind w:right="141"/>
        <w:jc w:val="both"/>
        <w:rPr>
          <w:color w:val="22315F"/>
          <w:sz w:val="28"/>
          <w:szCs w:val="28"/>
          <w:lang w:val="it-IT"/>
        </w:rPr>
      </w:pPr>
      <w:r>
        <w:rPr>
          <w:color w:val="22315F"/>
          <w:sz w:val="28"/>
          <w:szCs w:val="28"/>
          <w:lang w:val="it-IT"/>
        </w:rPr>
        <w:t>IL nuovo corso online è frutto della collaborazione di a</w:t>
      </w:r>
      <w:r w:rsidRPr="00504FDB">
        <w:rPr>
          <w:color w:val="22315F"/>
          <w:sz w:val="28"/>
          <w:szCs w:val="28"/>
          <w:lang w:val="it-IT"/>
        </w:rPr>
        <w:t>ziende per la sicurezza informatica, enti di ricerca e del privato sociale e istituzioni pubbliche</w:t>
      </w:r>
      <w:r w:rsidR="00C026FE">
        <w:rPr>
          <w:color w:val="22315F"/>
          <w:sz w:val="28"/>
          <w:szCs w:val="28"/>
          <w:lang w:val="it-IT"/>
        </w:rPr>
        <w:t>. Il</w:t>
      </w:r>
      <w:r>
        <w:rPr>
          <w:color w:val="22315F"/>
          <w:sz w:val="28"/>
          <w:szCs w:val="28"/>
          <w:lang w:val="it-IT"/>
        </w:rPr>
        <w:t xml:space="preserve"> corso propone una formazione specifica sul contrasto alle forme digitali di violenza di gen</w:t>
      </w:r>
      <w:r w:rsidR="00C026FE">
        <w:rPr>
          <w:color w:val="22315F"/>
          <w:sz w:val="28"/>
          <w:szCs w:val="28"/>
          <w:lang w:val="it-IT"/>
        </w:rPr>
        <w:t xml:space="preserve">ere, ed è dedicato a operatori </w:t>
      </w:r>
      <w:r>
        <w:rPr>
          <w:color w:val="22315F"/>
          <w:sz w:val="28"/>
          <w:szCs w:val="28"/>
          <w:lang w:val="it-IT"/>
        </w:rPr>
        <w:t>e o</w:t>
      </w:r>
      <w:r w:rsidR="00C026FE">
        <w:rPr>
          <w:color w:val="22315F"/>
          <w:sz w:val="28"/>
          <w:szCs w:val="28"/>
          <w:lang w:val="it-IT"/>
        </w:rPr>
        <w:t>peratrici di Servizi pubblici, Centri antiviolenza e C</w:t>
      </w:r>
      <w:r>
        <w:rPr>
          <w:color w:val="22315F"/>
          <w:sz w:val="28"/>
          <w:szCs w:val="28"/>
          <w:lang w:val="it-IT"/>
        </w:rPr>
        <w:t>entri per il trattamento degli uomini autori di violenza.</w:t>
      </w:r>
    </w:p>
    <w:p w14:paraId="7752729E" w14:textId="77777777" w:rsidR="00162451" w:rsidRPr="00C026FE" w:rsidRDefault="00162451" w:rsidP="00171599">
      <w:pPr>
        <w:rPr>
          <w:i/>
          <w:iCs/>
          <w:lang w:val="it-IT"/>
        </w:rPr>
      </w:pPr>
    </w:p>
    <w:p w14:paraId="659CD06D" w14:textId="0D9FC295" w:rsidR="00171599" w:rsidRPr="00171599" w:rsidRDefault="00171599" w:rsidP="00171599">
      <w:pPr>
        <w:rPr>
          <w:i/>
          <w:iCs/>
        </w:rPr>
      </w:pPr>
      <w:r w:rsidRPr="00171599">
        <w:rPr>
          <w:i/>
          <w:iCs/>
        </w:rPr>
        <w:t xml:space="preserve">11 </w:t>
      </w:r>
      <w:proofErr w:type="spellStart"/>
      <w:r w:rsidR="00504FDB">
        <w:rPr>
          <w:i/>
          <w:iCs/>
        </w:rPr>
        <w:t>Ottobre</w:t>
      </w:r>
      <w:proofErr w:type="spellEnd"/>
      <w:r w:rsidRPr="00171599">
        <w:rPr>
          <w:i/>
          <w:iCs/>
        </w:rPr>
        <w:t xml:space="preserve"> 2021</w:t>
      </w:r>
    </w:p>
    <w:p w14:paraId="0BC4EACC" w14:textId="77777777" w:rsidR="00171599" w:rsidRDefault="00171599" w:rsidP="00994594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1"/>
        <w:tblW w:w="0" w:type="auto"/>
        <w:tblBorders>
          <w:top w:val="none" w:sz="0" w:space="0" w:color="auto"/>
          <w:left w:val="single" w:sz="36" w:space="0" w:color="669934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27"/>
      </w:tblGrid>
      <w:tr w:rsidR="000F6896" w14:paraId="51F44961" w14:textId="77777777" w:rsidTr="00F22C3D">
        <w:tc>
          <w:tcPr>
            <w:tcW w:w="9027" w:type="dxa"/>
            <w:shd w:val="clear" w:color="auto" w:fill="E2EFD9" w:themeFill="accent6" w:themeFillTint="33"/>
          </w:tcPr>
          <w:p w14:paraId="774C5C81" w14:textId="537E38FD" w:rsidR="00364888" w:rsidRDefault="00504FDB" w:rsidP="00F22C3D">
            <w:pPr>
              <w:spacing w:before="220" w:after="220"/>
              <w:ind w:left="284" w:right="284"/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</w:pPr>
            <w:r w:rsidRPr="00364888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L’abuso online è una forma di violenza nelle relazioni affettive nuova e tuttavia molt</w:t>
            </w:r>
            <w:r w:rsidR="00364888" w:rsidRPr="00364888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 xml:space="preserve">o </w:t>
            </w:r>
            <w:r w:rsidRPr="00364888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 xml:space="preserve">diffusa, che </w:t>
            </w:r>
            <w:r w:rsidR="00364888" w:rsidRPr="00364888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c</w:t>
            </w:r>
            <w:r w:rsidR="00364888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 xml:space="preserve">olpisce ragazze e donne in modo sproporzionato. </w:t>
            </w:r>
            <w:r w:rsidR="00364888" w:rsidRPr="00364888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Gli autori trovano modi sempre più creativ</w:t>
            </w:r>
            <w:r w:rsidR="00C026FE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i</w:t>
            </w:r>
            <w:r w:rsidR="00364888" w:rsidRPr="00364888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 xml:space="preserve"> di esercitare p</w:t>
            </w:r>
            <w:r w:rsidR="00364888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 xml:space="preserve">otere e controllo tramite dispositivi “smart”, app e spazi online. </w:t>
            </w:r>
          </w:p>
          <w:p w14:paraId="5886C251" w14:textId="7A0C4F87" w:rsidR="00364888" w:rsidRPr="00364888" w:rsidRDefault="00364888" w:rsidP="00F22C3D">
            <w:pPr>
              <w:spacing w:before="220" w:after="220"/>
              <w:ind w:left="284" w:right="284"/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</w:pPr>
            <w:r w:rsidRPr="00364888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L’approccio intersettoriale e la for</w:t>
            </w:r>
            <w:r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mazione professionale sono necessari per affrontare la cyberviolenza in modo efficace e migliorare le competenze dei servizi responsabili della sicurezza delle vittime/sopravvissute.</w:t>
            </w:r>
          </w:p>
          <w:p w14:paraId="00979323" w14:textId="4553E40E" w:rsidR="000F6896" w:rsidRPr="000F556A" w:rsidRDefault="000F6896" w:rsidP="000F6896">
            <w:pPr>
              <w:spacing w:before="220" w:after="220"/>
              <w:ind w:left="284" w:right="284"/>
              <w:jc w:val="right"/>
              <w:rPr>
                <w:rFonts w:asciiTheme="majorHAnsi" w:hAnsiTheme="majorHAnsi" w:cstheme="majorHAnsi"/>
                <w:color w:val="262626" w:themeColor="text1" w:themeTint="D9"/>
                <w:sz w:val="26"/>
                <w:szCs w:val="26"/>
              </w:rPr>
            </w:pPr>
            <w:r w:rsidRPr="00171599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en-GB"/>
              </w:rPr>
              <w:t xml:space="preserve">Alessandra Pauncz, Executive Director of WWP EN  </w:t>
            </w:r>
          </w:p>
        </w:tc>
      </w:tr>
    </w:tbl>
    <w:p w14:paraId="244A303E" w14:textId="77777777" w:rsidR="00171599" w:rsidRPr="00171599" w:rsidRDefault="00171599" w:rsidP="00171599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en-GB"/>
        </w:rPr>
      </w:pPr>
    </w:p>
    <w:p w14:paraId="223ABE15" w14:textId="1844AAC1" w:rsidR="00364888" w:rsidRDefault="00364888" w:rsidP="00C026FE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  <w:lang w:val="it-IT"/>
        </w:rPr>
      </w:pPr>
      <w:r w:rsidRPr="00364888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A partire da febbraio 2021, </w:t>
      </w:r>
      <w:r w:rsid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>i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 partner del progett</w:t>
      </w:r>
      <w:r w:rsid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>o DeStalk hanno collaborato allo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 sviluppo del corso e-learning, che ha l’obiettivo di rendere più efficace la presa in carico delle vittime e le azioni di prevenzione della violenza online.</w:t>
      </w:r>
    </w:p>
    <w:p w14:paraId="100A1AC1" w14:textId="4414371B" w:rsidR="00364888" w:rsidRDefault="00206823" w:rsidP="00C026FE">
      <w:pPr>
        <w:spacing w:line="360" w:lineRule="auto"/>
        <w:jc w:val="both"/>
        <w:rPr>
          <w:rFonts w:ascii="Calibri Light" w:eastAsia="Calibri Light" w:hAnsi="Calibri Light" w:cs="Calibri Light"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>Secondo i dati pubblicati dell’EIGE (</w:t>
      </w:r>
      <w:proofErr w:type="spellStart"/>
      <w:r w:rsidRPr="00206823">
        <w:rPr>
          <w:rFonts w:ascii="Calibri Light" w:eastAsia="Calibri Light" w:hAnsi="Calibri Light" w:cs="Calibri Light"/>
          <w:color w:val="000000" w:themeColor="text1"/>
          <w:sz w:val="22"/>
          <w:szCs w:val="22"/>
          <w:lang w:val="it-IT"/>
        </w:rPr>
        <w:t>European</w:t>
      </w:r>
      <w:proofErr w:type="spellEnd"/>
      <w:r w:rsidRPr="00206823">
        <w:rPr>
          <w:rFonts w:ascii="Calibri Light" w:eastAsia="Calibri Light" w:hAnsi="Calibri Light" w:cs="Calibri Light"/>
          <w:color w:val="000000" w:themeColor="text1"/>
          <w:sz w:val="22"/>
          <w:szCs w:val="22"/>
          <w:lang w:val="it-IT"/>
        </w:rPr>
        <w:t xml:space="preserve"> Institute for Gender Equality</w:t>
      </w:r>
      <w:r w:rsid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>), 1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 donna su 10 </w:t>
      </w:r>
      <w:r w:rsid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in Europa 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>subisce violenza online a partire dai 15 anni</w:t>
      </w:r>
      <w:r>
        <w:rPr>
          <w:rStyle w:val="Rimandonotadichiusura"/>
          <w:rFonts w:ascii="Calibri Light" w:eastAsia="Calibri Light" w:hAnsi="Calibri Light" w:cs="Calibri Light"/>
          <w:color w:val="000000" w:themeColor="text1"/>
          <w:sz w:val="22"/>
          <w:szCs w:val="22"/>
          <w:lang w:val="en-GB"/>
        </w:rPr>
        <w:endnoteReference w:id="1"/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 e </w:t>
      </w:r>
      <w:r w:rsid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>7</w:t>
      </w:r>
      <w:r w:rsidR="00364888" w:rsidRPr="00364888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 donne su </w:t>
      </w:r>
      <w:r w:rsid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10 </w:t>
      </w:r>
      <w:r w:rsidR="00364888" w:rsidRPr="00364888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che hanno subito stalking online hanno anche subito almeno una forma di violenza fisica e/o sessuale da parte del partner. Allo stesso modo, il </w:t>
      </w:r>
      <w:r w:rsidR="00364888" w:rsidRPr="00364888">
        <w:rPr>
          <w:rFonts w:asciiTheme="majorHAnsi" w:hAnsiTheme="majorHAnsi"/>
          <w:color w:val="000000" w:themeColor="text1"/>
          <w:sz w:val="22"/>
          <w:szCs w:val="22"/>
          <w:lang w:val="it-IT"/>
        </w:rPr>
        <w:lastRenderedPageBreak/>
        <w:t>71% degli autori di violenza domestica controlla il computer delle partner e il 54% ne traccia i cellulari con softwar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>e specifici</w:t>
      </w:r>
      <w:r w:rsidR="00364888" w:rsidRPr="00364888">
        <w:rPr>
          <w:rFonts w:asciiTheme="majorHAnsi" w:hAnsiTheme="majorHAnsi"/>
          <w:color w:val="000000" w:themeColor="text1"/>
          <w:sz w:val="22"/>
          <w:szCs w:val="22"/>
          <w:lang w:val="it-IT"/>
        </w:rPr>
        <w:t>.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 Lo stalkerware è un software acquistabile liberamente che viene utilizzato per spiare segretamente tramite dispositivo digitale la vita di un’altra persona, ed è spesso associato ad altre forme di violenza. Secondo le rilevazioni di Kaspersk</w:t>
      </w:r>
      <w:r w:rsidR="007A27CB">
        <w:rPr>
          <w:rFonts w:asciiTheme="majorHAnsi" w:hAnsiTheme="majorHAnsi"/>
          <w:color w:val="000000" w:themeColor="text1"/>
          <w:sz w:val="22"/>
          <w:szCs w:val="22"/>
          <w:lang w:val="it-IT"/>
        </w:rPr>
        <w:t>y</w:t>
      </w:r>
      <w:r>
        <w:rPr>
          <w:rStyle w:val="Rimandonotadichiusura"/>
          <w:rFonts w:ascii="Calibri Light" w:eastAsia="Calibri Light" w:hAnsi="Calibri Light" w:cs="Calibri Light"/>
          <w:color w:val="000000" w:themeColor="text1"/>
          <w:sz w:val="22"/>
          <w:szCs w:val="22"/>
          <w:lang w:val="en-GB"/>
        </w:rPr>
        <w:endnoteReference w:id="2"/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; nel 2020 in Europa </w:t>
      </w:r>
      <w:r w:rsidRPr="00206823">
        <w:rPr>
          <w:rFonts w:ascii="Calibri Light" w:eastAsia="Calibri Light" w:hAnsi="Calibri Light" w:cs="Calibri Light"/>
          <w:color w:val="000000" w:themeColor="text1"/>
          <w:sz w:val="22"/>
          <w:szCs w:val="22"/>
          <w:lang w:val="it-IT"/>
        </w:rPr>
        <w:t>6,459 utenti s</w:t>
      </w:r>
      <w:r>
        <w:rPr>
          <w:rFonts w:ascii="Calibri Light" w:eastAsia="Calibri Light" w:hAnsi="Calibri Light" w:cs="Calibri Light"/>
          <w:color w:val="000000" w:themeColor="text1"/>
          <w:sz w:val="22"/>
          <w:szCs w:val="22"/>
          <w:lang w:val="it-IT"/>
        </w:rPr>
        <w:t>ono stati colpiti da stalkerware, con il maggior numero di casi rilevato rispettivamente in Germania, Italia, Francia e Spagna.</w:t>
      </w:r>
    </w:p>
    <w:p w14:paraId="30426DC9" w14:textId="3F10877A" w:rsidR="000F6896" w:rsidRPr="00C026FE" w:rsidRDefault="007A27CB" w:rsidP="00C026FE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  <w:lang w:val="it-IT"/>
        </w:rPr>
      </w:pPr>
      <w:r w:rsidRP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>Il corso online è uno st</w:t>
      </w:r>
      <w:r w:rsidR="00D752C3" w:rsidRP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>ep fondamentale che aiuterà operatori e operat</w:t>
      </w:r>
      <w:r w:rsidR="004B3652" w:rsidRP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>r</w:t>
      </w:r>
      <w:r w:rsidR="00D752C3" w:rsidRP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ici a colmare il </w:t>
      </w:r>
      <w:proofErr w:type="gramStart"/>
      <w:r w:rsidR="00D752C3" w:rsidRP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>gap</w:t>
      </w:r>
      <w:proofErr w:type="gramEnd"/>
      <w:r w:rsidR="00D752C3" w:rsidRP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 di competenze e rafforzerà</w:t>
      </w:r>
      <w:r w:rsidR="002B7061" w:rsidRPr="00C026FE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 le loro capacità di riconoscere e affrontare cyberviolenza e stalkerware.</w:t>
      </w:r>
    </w:p>
    <w:tbl>
      <w:tblPr>
        <w:tblStyle w:val="Grigliatabella"/>
        <w:tblpPr w:leftFromText="141" w:rightFromText="141" w:vertAnchor="text" w:horzAnchor="margin" w:tblpY="181"/>
        <w:tblW w:w="0" w:type="auto"/>
        <w:tblBorders>
          <w:top w:val="none" w:sz="0" w:space="0" w:color="auto"/>
          <w:left w:val="single" w:sz="36" w:space="0" w:color="669934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27"/>
      </w:tblGrid>
      <w:tr w:rsidR="000F6896" w:rsidRPr="00D8413B" w14:paraId="1CD2CFBE" w14:textId="77777777" w:rsidTr="00F22C3D">
        <w:tc>
          <w:tcPr>
            <w:tcW w:w="9027" w:type="dxa"/>
            <w:shd w:val="clear" w:color="auto" w:fill="E2EFD9" w:themeFill="accent6" w:themeFillTint="33"/>
          </w:tcPr>
          <w:p w14:paraId="4B59AA5F" w14:textId="655A279A" w:rsidR="002B7061" w:rsidRPr="007720D3" w:rsidRDefault="002B7061" w:rsidP="00C026FE">
            <w:pPr>
              <w:spacing w:before="220" w:after="220"/>
              <w:ind w:left="284" w:right="284"/>
              <w:jc w:val="both"/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</w:pPr>
            <w:r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Nel lavoro di prevenzione e contrasto alle nuove</w:t>
            </w:r>
            <w:r w:rsidRPr="002B7061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 xml:space="preserve"> forme di v</w:t>
            </w:r>
            <w:r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 xml:space="preserve">iolenza nelle relazioni affettive, come la cyberviolenza e lo stalkerware, </w:t>
            </w:r>
            <w:r w:rsidR="004B3652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i professionisti che lavorano con vittime ed autori devono avere le competenze necessarie per affrontare queste nuove forme e per proteggere adeguatamente le vittime.</w:t>
            </w:r>
            <w:r w:rsidR="007720D3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 xml:space="preserve"> Anche legislatori e operatori di servizi pubblici sono ugualmente importanti nella lotta contro la violenza domestica.  </w:t>
            </w:r>
            <w:r w:rsidR="007720D3" w:rsidRPr="007720D3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DeStalk p</w:t>
            </w:r>
            <w:r w:rsidR="00C026FE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 xml:space="preserve">ropone una formazione orientata </w:t>
            </w:r>
            <w:r w:rsidR="007720D3" w:rsidRPr="007720D3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alla pratica e focalizzata s</w:t>
            </w:r>
            <w:r w:rsidR="007720D3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ulle vittime, destinata a professionisti e stakeholders, e mira a migliorare le loro competenze per affrontare efficacemente cyberviolenza e stalkerware.</w:t>
            </w:r>
          </w:p>
          <w:p w14:paraId="7F7A95D4" w14:textId="3292E8A4" w:rsidR="00295C4F" w:rsidRPr="007720D3" w:rsidRDefault="009C1030" w:rsidP="00EE6DD1">
            <w:pPr>
              <w:spacing w:before="220" w:after="220"/>
              <w:ind w:left="284" w:right="284"/>
              <w:jc w:val="right"/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</w:pPr>
            <w:r w:rsidRPr="007720D3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 xml:space="preserve">Berta Vall, </w:t>
            </w:r>
            <w:r w:rsidR="007720D3" w:rsidRPr="007720D3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Professoressa associata, Facoltà di Psicologia, Educazione e Scienze dello sport</w:t>
            </w:r>
            <w:r w:rsidR="007720D3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 xml:space="preserve">, </w:t>
            </w:r>
            <w:proofErr w:type="spellStart"/>
            <w:r w:rsidR="008C3517" w:rsidRPr="007720D3">
              <w:rPr>
                <w:rFonts w:asciiTheme="majorHAnsi" w:hAnsiTheme="majorHAnsi"/>
                <w:color w:val="262626" w:themeColor="text1" w:themeTint="D9"/>
                <w:sz w:val="22"/>
                <w:szCs w:val="22"/>
                <w:lang w:val="it-IT"/>
              </w:rPr>
              <w:t>Blanquerna</w:t>
            </w:r>
            <w:proofErr w:type="spellEnd"/>
          </w:p>
        </w:tc>
      </w:tr>
    </w:tbl>
    <w:p w14:paraId="5F636CFF" w14:textId="2B4F4391" w:rsidR="00171599" w:rsidRPr="007720D3" w:rsidRDefault="00171599" w:rsidP="00171599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5BBEB035" w14:textId="6358941B" w:rsidR="000F6896" w:rsidRPr="00226413" w:rsidRDefault="008041BF" w:rsidP="00C026FE">
      <w:pPr>
        <w:spacing w:line="360" w:lineRule="auto"/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  <w:r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Kaspersky </w:t>
      </w:r>
      <w:r w:rsidR="007720D3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ha</w:t>
      </w:r>
      <w:r w:rsid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sviluppato il pacchetto </w:t>
      </w:r>
      <w:r w:rsidRPr="007720D3">
        <w:rPr>
          <w:rFonts w:asciiTheme="majorHAnsi" w:hAnsiTheme="majorHAnsi"/>
          <w:b/>
          <w:color w:val="262626" w:themeColor="text1" w:themeTint="D9"/>
          <w:sz w:val="22"/>
          <w:szCs w:val="22"/>
          <w:lang w:val="it-IT"/>
        </w:rPr>
        <w:t>e-learning</w:t>
      </w:r>
      <w:r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</w:t>
      </w:r>
      <w:r w:rsid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in collaborazione con </w:t>
      </w:r>
      <w:proofErr w:type="spellStart"/>
      <w:r w:rsidR="009B02FE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Fundación</w:t>
      </w:r>
      <w:proofErr w:type="spellEnd"/>
      <w:r w:rsidR="009B02FE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</w:t>
      </w:r>
      <w:proofErr w:type="spellStart"/>
      <w:r w:rsidR="009B02FE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Blanquerna</w:t>
      </w:r>
      <w:proofErr w:type="spellEnd"/>
      <w:r w:rsidR="00577B0B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, </w:t>
      </w:r>
      <w:r w:rsidR="5A98864B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Una Casa per l’Uomo</w:t>
      </w:r>
      <w:r w:rsidR="00C909A2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, Regione </w:t>
      </w:r>
      <w:r w:rsidR="009C1030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del </w:t>
      </w:r>
      <w:r w:rsidR="00577B0B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Veneto</w:t>
      </w:r>
      <w:r w:rsidR="009B02FE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</w:t>
      </w:r>
      <w:r w:rsid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e</w:t>
      </w:r>
      <w:r w:rsidR="009B02FE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WWP EN</w:t>
      </w:r>
      <w:r w:rsidR="00577B0B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. </w:t>
      </w:r>
      <w:r w:rsidR="007720D3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Il Corso si svolge su una de</w:t>
      </w:r>
      <w:r w:rsid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lle</w:t>
      </w:r>
      <w:r w:rsidR="007720D3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piattaform</w:t>
      </w:r>
      <w:r w:rsidR="0022641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e formative di Kaspersky, chiamata</w:t>
      </w:r>
      <w:r w:rsidR="007720D3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“</w:t>
      </w:r>
      <w:proofErr w:type="spellStart"/>
      <w:r w:rsidR="009B02FE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Automated</w:t>
      </w:r>
      <w:proofErr w:type="spellEnd"/>
      <w:r w:rsidR="009B02FE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Security </w:t>
      </w:r>
      <w:proofErr w:type="spellStart"/>
      <w:r w:rsidR="009B02FE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Awareness</w:t>
      </w:r>
      <w:proofErr w:type="spellEnd"/>
      <w:r w:rsidR="009B02FE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</w:t>
      </w:r>
      <w:r w:rsidR="00577B0B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Platform</w:t>
      </w:r>
      <w:r w:rsidR="007720D3"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”</w:t>
      </w:r>
      <w:r w:rsidRPr="007720D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. </w:t>
      </w:r>
      <w:r w:rsidR="0022641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</w:t>
      </w:r>
      <w:r w:rsidR="00226413" w:rsidRPr="0022641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I</w:t>
      </w:r>
      <w:r w:rsidR="00C026FE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l corso online è stato sviluppa</w:t>
      </w:r>
      <w:r w:rsidR="00226413" w:rsidRPr="0022641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to</w:t>
      </w:r>
      <w:r w:rsidR="00C026FE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grazie al supporto </w:t>
      </w:r>
      <w:r w:rsidR="00226413" w:rsidRPr="0022641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del programma “Diritti, Uguaglianza e Cittadinanza” (</w:t>
      </w:r>
      <w:proofErr w:type="spellStart"/>
      <w:r w:rsidR="00171599" w:rsidRPr="00226413">
        <w:rPr>
          <w:rFonts w:asciiTheme="majorHAnsi" w:hAnsiTheme="majorHAnsi"/>
          <w:i/>
          <w:iCs/>
          <w:color w:val="262626" w:themeColor="text1" w:themeTint="D9"/>
          <w:sz w:val="22"/>
          <w:szCs w:val="22"/>
          <w:lang w:val="it-IT"/>
        </w:rPr>
        <w:t>Rights</w:t>
      </w:r>
      <w:proofErr w:type="spellEnd"/>
      <w:r w:rsidR="00171599" w:rsidRPr="00226413">
        <w:rPr>
          <w:rFonts w:asciiTheme="majorHAnsi" w:hAnsiTheme="majorHAnsi"/>
          <w:i/>
          <w:iCs/>
          <w:color w:val="262626" w:themeColor="text1" w:themeTint="D9"/>
          <w:sz w:val="22"/>
          <w:szCs w:val="22"/>
          <w:lang w:val="it-IT"/>
        </w:rPr>
        <w:t xml:space="preserve">, Equality and </w:t>
      </w:r>
      <w:proofErr w:type="spellStart"/>
      <w:r w:rsidR="00171599" w:rsidRPr="00226413">
        <w:rPr>
          <w:rFonts w:asciiTheme="majorHAnsi" w:hAnsiTheme="majorHAnsi"/>
          <w:i/>
          <w:iCs/>
          <w:color w:val="262626" w:themeColor="text1" w:themeTint="D9"/>
          <w:sz w:val="22"/>
          <w:szCs w:val="22"/>
          <w:lang w:val="it-IT"/>
        </w:rPr>
        <w:t>Citizenship</w:t>
      </w:r>
      <w:proofErr w:type="spellEnd"/>
      <w:r w:rsidR="00171599" w:rsidRPr="00226413">
        <w:rPr>
          <w:rFonts w:asciiTheme="majorHAnsi" w:hAnsiTheme="majorHAnsi"/>
          <w:i/>
          <w:iCs/>
          <w:color w:val="262626" w:themeColor="text1" w:themeTint="D9"/>
          <w:sz w:val="22"/>
          <w:szCs w:val="22"/>
          <w:lang w:val="it-IT"/>
        </w:rPr>
        <w:t xml:space="preserve"> REC</w:t>
      </w:r>
      <w:r w:rsidR="0022641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) della Commissione Europea</w:t>
      </w:r>
      <w:r w:rsidR="00171599" w:rsidRPr="00226413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. </w:t>
      </w:r>
    </w:p>
    <w:tbl>
      <w:tblPr>
        <w:tblStyle w:val="Grigliatabella"/>
        <w:tblpPr w:leftFromText="141" w:rightFromText="141" w:vertAnchor="text" w:horzAnchor="margin" w:tblpY="181"/>
        <w:tblW w:w="0" w:type="auto"/>
        <w:tblBorders>
          <w:top w:val="none" w:sz="0" w:space="0" w:color="auto"/>
          <w:left w:val="single" w:sz="36" w:space="0" w:color="669934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27"/>
      </w:tblGrid>
      <w:tr w:rsidR="000F6896" w:rsidRPr="00D8413B" w14:paraId="2AACFF45" w14:textId="77777777" w:rsidTr="00F22C3D">
        <w:tc>
          <w:tcPr>
            <w:tcW w:w="9027" w:type="dxa"/>
            <w:shd w:val="clear" w:color="auto" w:fill="E2EFD9" w:themeFill="accent6" w:themeFillTint="33"/>
          </w:tcPr>
          <w:p w14:paraId="71F6638C" w14:textId="13D28CE8" w:rsidR="00226413" w:rsidRPr="00A72833" w:rsidRDefault="00226413" w:rsidP="00C026FE">
            <w:pPr>
              <w:spacing w:before="220" w:after="220"/>
              <w:ind w:left="284" w:right="284"/>
              <w:jc w:val="both"/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</w:pPr>
            <w:r w:rsidRPr="00226413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Siamo onorati di aver guidat</w:t>
            </w:r>
            <w:r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o il lavoro sul corso e-learning DeStalk, che ha visto la collaborazione di partner esperti provenienti da </w:t>
            </w:r>
            <w:r w:rsidRPr="00226413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enti di ricerca e del privato sociale e istituzioni pubbliche</w:t>
            </w:r>
            <w:r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. L’integrazione dell’expertise di ciascun partner e l’approccio multidisciplinare adottato, hanno permesso di creare sulla nostra piattaforma un corso online unico, che mira ad accrescere le competenze dei professionisti che lavorano nell’ambito della violenza domestica e degli enti pubblici. </w:t>
            </w:r>
            <w:r w:rsidRPr="00A72833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L’approccio </w:t>
            </w:r>
            <w:proofErr w:type="spellStart"/>
            <w:r w:rsidRPr="00A72833">
              <w:rPr>
                <w:rFonts w:asciiTheme="majorHAnsi" w:hAnsiTheme="majorHAnsi" w:cstheme="majorHAnsi"/>
                <w:i/>
                <w:iCs/>
                <w:color w:val="262626" w:themeColor="text1" w:themeTint="D9"/>
                <w:sz w:val="22"/>
                <w:szCs w:val="22"/>
                <w:lang w:val="it-IT"/>
              </w:rPr>
              <w:t>microlearning</w:t>
            </w:r>
            <w:proofErr w:type="spellEnd"/>
            <w:r w:rsidRPr="00A72833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 e </w:t>
            </w:r>
            <w:r w:rsidR="00A72833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i </w:t>
            </w:r>
            <w:r w:rsidRPr="00A72833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percorsi di formazione automatizzata adottati </w:t>
            </w:r>
            <w:r w:rsidR="00A72833" w:rsidRPr="00A72833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per</w:t>
            </w:r>
            <w:r w:rsidR="00A72833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mettono agli utenti un’esperienza di apprendimento personalizzata e adattabile al ritmo di ciascuno, fornendo le competenze necessarie al supporto delle vittime di cyberviolenza e stalkerware.</w:t>
            </w:r>
          </w:p>
          <w:p w14:paraId="3D7ACA3B" w14:textId="66E242E6" w:rsidR="000F6896" w:rsidRPr="00EE6DD1" w:rsidRDefault="009B02FE" w:rsidP="00EE6DD1">
            <w:pPr>
              <w:spacing w:before="220" w:after="220"/>
              <w:ind w:left="284" w:right="284"/>
              <w:jc w:val="right"/>
              <w:rPr>
                <w:rFonts w:asciiTheme="majorHAnsi" w:hAnsiTheme="majorHAnsi" w:cstheme="majorHAnsi"/>
                <w:color w:val="262626" w:themeColor="text1" w:themeTint="D9"/>
                <w:sz w:val="26"/>
                <w:szCs w:val="26"/>
                <w:lang w:val="it-IT"/>
              </w:rPr>
            </w:pPr>
            <w:r w:rsidRPr="00EE6DD1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Alfonso Ramirez, General Manager Iberia, Kaspersky</w:t>
            </w:r>
          </w:p>
        </w:tc>
      </w:tr>
    </w:tbl>
    <w:p w14:paraId="743FE5FF" w14:textId="77777777" w:rsidR="00216F0F" w:rsidRPr="009001AE" w:rsidRDefault="00216F0F" w:rsidP="67E78E15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14:paraId="7C734E82" w14:textId="70084AD1" w:rsidR="00A72833" w:rsidRDefault="00A72833" w:rsidP="67E78E15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lang w:val="it-IT"/>
        </w:rPr>
      </w:pPr>
      <w:r w:rsidRPr="00A72833">
        <w:rPr>
          <w:rFonts w:asciiTheme="majorHAnsi" w:hAnsiTheme="majorHAnsi"/>
          <w:color w:val="000000" w:themeColor="text1"/>
          <w:sz w:val="22"/>
          <w:szCs w:val="22"/>
          <w:lang w:val="it-IT"/>
        </w:rPr>
        <w:lastRenderedPageBreak/>
        <w:t>La formazione è aperta a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i rappresentanti di istituzioni e servizi che lavorano quotidianamente nell’ambito della violenza di genere all’interno dell’Unione Europea. </w:t>
      </w:r>
      <w:r w:rsidRPr="00A72833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IL corso è </w:t>
      </w:r>
      <w:r w:rsidRPr="00A72833">
        <w:rPr>
          <w:rFonts w:asciiTheme="majorHAnsi" w:hAnsiTheme="majorHAnsi"/>
          <w:b/>
          <w:bCs/>
          <w:color w:val="000000" w:themeColor="text1"/>
          <w:sz w:val="22"/>
          <w:szCs w:val="22"/>
          <w:lang w:val="it-IT"/>
        </w:rPr>
        <w:t xml:space="preserve">disponibile in </w:t>
      </w:r>
      <w:proofErr w:type="gramStart"/>
      <w:r w:rsidRPr="00A72833">
        <w:rPr>
          <w:rFonts w:asciiTheme="majorHAnsi" w:hAnsiTheme="majorHAnsi"/>
          <w:b/>
          <w:bCs/>
          <w:color w:val="000000" w:themeColor="text1"/>
          <w:sz w:val="22"/>
          <w:szCs w:val="22"/>
          <w:lang w:val="it-IT"/>
        </w:rPr>
        <w:t>5</w:t>
      </w:r>
      <w:proofErr w:type="gramEnd"/>
      <w:r w:rsidRPr="00A72833">
        <w:rPr>
          <w:rFonts w:asciiTheme="majorHAnsi" w:hAnsiTheme="majorHAnsi"/>
          <w:b/>
          <w:bCs/>
          <w:color w:val="000000" w:themeColor="text1"/>
          <w:sz w:val="22"/>
          <w:szCs w:val="22"/>
          <w:lang w:val="it-IT"/>
        </w:rPr>
        <w:t xml:space="preserve"> lingue</w:t>
      </w:r>
      <w:r w:rsidRPr="00A72833">
        <w:rPr>
          <w:rFonts w:asciiTheme="majorHAnsi" w:hAnsiTheme="majorHAnsi"/>
          <w:color w:val="000000" w:themeColor="text1"/>
          <w:sz w:val="22"/>
          <w:szCs w:val="22"/>
          <w:lang w:val="it-IT"/>
        </w:rPr>
        <w:t>: Inglese, Francese, Tedesco, I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taliano e Spagnolo. 100 utenti avranno accesso gratuito alla piattaforma e-learning per completare il programma entro </w:t>
      </w:r>
      <w:r w:rsidR="00F03B05">
        <w:rPr>
          <w:rFonts w:asciiTheme="majorHAnsi" w:hAnsiTheme="majorHAnsi"/>
          <w:color w:val="000000" w:themeColor="text1"/>
          <w:sz w:val="22"/>
          <w:szCs w:val="22"/>
          <w:lang w:val="it-IT"/>
        </w:rPr>
        <w:t>agosto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 2022. Il corso è in modalità </w:t>
      </w:r>
      <w:r>
        <w:rPr>
          <w:rFonts w:asciiTheme="majorHAnsi" w:hAnsiTheme="majorHAnsi"/>
          <w:i/>
          <w:iCs/>
          <w:color w:val="000000" w:themeColor="text1"/>
          <w:sz w:val="22"/>
          <w:szCs w:val="22"/>
          <w:lang w:val="it-IT"/>
        </w:rPr>
        <w:t>self-</w:t>
      </w:r>
      <w:proofErr w:type="spellStart"/>
      <w:r>
        <w:rPr>
          <w:rFonts w:asciiTheme="majorHAnsi" w:hAnsiTheme="majorHAnsi"/>
          <w:i/>
          <w:iCs/>
          <w:color w:val="000000" w:themeColor="text1"/>
          <w:sz w:val="22"/>
          <w:szCs w:val="22"/>
          <w:lang w:val="it-IT"/>
        </w:rPr>
        <w:t>paced</w:t>
      </w:r>
      <w:proofErr w:type="spellEnd"/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>, per consentire ad ogni utente di completare il programma secondo il proprio ritmo</w:t>
      </w:r>
      <w:r w:rsidR="00F03B05"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. Durante tutto il percorso, la piattaforma formativa continuerà a tenerli impegnati e motivati. </w:t>
      </w:r>
    </w:p>
    <w:p w14:paraId="64D22E12" w14:textId="51D98024" w:rsidR="003E5DC0" w:rsidRPr="00D75FD5" w:rsidRDefault="00F03B05" w:rsidP="00F22071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  <w:lang w:val="it-IT"/>
        </w:rPr>
      </w:pPr>
      <w:r w:rsidRPr="00F03B05">
        <w:rPr>
          <w:rFonts w:asciiTheme="majorHAnsi" w:hAnsiTheme="majorHAnsi"/>
          <w:color w:val="000000" w:themeColor="text1"/>
          <w:sz w:val="22"/>
          <w:szCs w:val="22"/>
          <w:lang w:val="it-IT"/>
        </w:rPr>
        <w:t>Sebbene il tempo di comp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>letamento dipenda da quanto ciascuno può dedicare al corso, si stima che sia possibile completare il corso in 4 settimane, dedicando tra i 30 e i 90 minuti a settimana all’apprendimento.</w:t>
      </w:r>
    </w:p>
    <w:tbl>
      <w:tblPr>
        <w:tblStyle w:val="Grigliatabella"/>
        <w:tblpPr w:leftFromText="141" w:rightFromText="141" w:vertAnchor="text" w:horzAnchor="margin" w:tblpY="81"/>
        <w:tblW w:w="0" w:type="auto"/>
        <w:tblBorders>
          <w:top w:val="none" w:sz="0" w:space="0" w:color="auto"/>
          <w:left w:val="single" w:sz="36" w:space="0" w:color="669934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27"/>
      </w:tblGrid>
      <w:tr w:rsidR="003E5DC0" w:rsidRPr="00D8413B" w14:paraId="57B7231A" w14:textId="77777777" w:rsidTr="003E5DC0">
        <w:tc>
          <w:tcPr>
            <w:tcW w:w="9027" w:type="dxa"/>
            <w:shd w:val="clear" w:color="auto" w:fill="E2EFD9" w:themeFill="accent6" w:themeFillTint="33"/>
          </w:tcPr>
          <w:p w14:paraId="4AAFC5F4" w14:textId="74657775" w:rsidR="007C227C" w:rsidRPr="007C227C" w:rsidRDefault="007C227C" w:rsidP="00F22071">
            <w:pPr>
              <w:spacing w:before="220" w:after="220"/>
              <w:ind w:left="284" w:right="284"/>
              <w:jc w:val="both"/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</w:pPr>
            <w:r w:rsidRPr="007C227C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Le politiche regionali di p</w:t>
            </w:r>
            <w:r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revenzione e contrasto della violenza contro le donne devono essere aggiornate e includere anche tutte le nuove forme di abuso. </w:t>
            </w:r>
            <w:r w:rsidRPr="007C227C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Aumentare la consapevolezza e la conoscenza su cyberviolenza e s</w:t>
            </w:r>
            <w:r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talkerware tramite una formazione </w:t>
            </w:r>
            <w:r w:rsidR="00D75FD5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specifica rivolta</w:t>
            </w:r>
            <w:r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 a tutti i soggetti della rete antiviolenza è cruciale ne</w:t>
            </w:r>
            <w:r w:rsidR="00D75FD5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ll’aumentare l’efficacia degli interventi della stessa.</w:t>
            </w:r>
          </w:p>
          <w:p w14:paraId="6AD71114" w14:textId="59E7F087" w:rsidR="003E5DC0" w:rsidRPr="00225FD4" w:rsidRDefault="00225FD4" w:rsidP="00EE6DD1">
            <w:pPr>
              <w:spacing w:before="220" w:after="220"/>
              <w:ind w:left="284" w:right="284"/>
              <w:jc w:val="right"/>
              <w:rPr>
                <w:rFonts w:asciiTheme="majorHAnsi" w:hAnsiTheme="majorHAnsi" w:cstheme="majorHAnsi"/>
                <w:color w:val="262626" w:themeColor="text1" w:themeTint="D9"/>
                <w:sz w:val="26"/>
                <w:szCs w:val="26"/>
                <w:lang w:val="it-IT"/>
              </w:rPr>
            </w:pPr>
            <w:r w:rsidRPr="00225FD4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Valeria Motterle,</w:t>
            </w:r>
            <w:r w:rsidRPr="00225FD4">
              <w:rPr>
                <w:lang w:val="it-IT"/>
              </w:rPr>
              <w:t xml:space="preserve"> </w:t>
            </w:r>
            <w:r w:rsidRPr="00225FD4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P.O. </w:t>
            </w:r>
            <w:r w:rsidR="00D75FD5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progetti internazionali</w:t>
            </w:r>
            <w:r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, </w:t>
            </w:r>
            <w:r w:rsidR="009C1030" w:rsidRPr="00225FD4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Regione del Veneto</w:t>
            </w:r>
          </w:p>
        </w:tc>
      </w:tr>
    </w:tbl>
    <w:p w14:paraId="5631EC52" w14:textId="77777777" w:rsidR="003E5DC0" w:rsidRPr="00225FD4" w:rsidRDefault="003E5DC0" w:rsidP="00171599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4B121338" w14:textId="2B526DEB" w:rsidR="003E5DC0" w:rsidRPr="00D75FD5" w:rsidRDefault="00D75FD5" w:rsidP="00171599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  <w:r w:rsidRPr="00D75FD5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Il Corso e-learning è s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trutturato in </w:t>
      </w:r>
      <w:proofErr w:type="gramStart"/>
      <w:r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4</w:t>
      </w:r>
      <w:proofErr w:type="gramEnd"/>
      <w:r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moduli che includono lezioni su: violenza di genere e cyberviolenza, riconoscimento delle più comuni forme di cyberviolenza di genere, formazione approfondita sullo stalkerware, </w:t>
      </w:r>
      <w:r w:rsidRPr="00D75FD5">
        <w:rPr>
          <w:rFonts w:asciiTheme="majorHAnsi" w:hAnsiTheme="majorHAnsi"/>
          <w:b/>
          <w:bCs/>
          <w:color w:val="262626" w:themeColor="text1" w:themeTint="D9"/>
          <w:sz w:val="22"/>
          <w:szCs w:val="22"/>
          <w:lang w:val="it-IT"/>
        </w:rPr>
        <w:t>indicazioni pratiche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su come affrontare la cyberviolenza e lo stalkerware in base al settore specifico di intervento (servizio pubblico</w:t>
      </w:r>
      <w:r w:rsidR="00F22071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, Centro per autori, C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entro antiviolenza)</w:t>
      </w:r>
      <w:r w:rsidR="00F22071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.</w:t>
      </w:r>
    </w:p>
    <w:tbl>
      <w:tblPr>
        <w:tblStyle w:val="Grigliatabella"/>
        <w:tblpPr w:leftFromText="141" w:rightFromText="141" w:vertAnchor="text" w:horzAnchor="margin" w:tblpY="181"/>
        <w:tblW w:w="0" w:type="auto"/>
        <w:tblBorders>
          <w:top w:val="none" w:sz="0" w:space="0" w:color="auto"/>
          <w:left w:val="single" w:sz="36" w:space="0" w:color="669934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27"/>
      </w:tblGrid>
      <w:tr w:rsidR="000F6896" w:rsidRPr="00D8413B" w14:paraId="3751516C" w14:textId="77777777" w:rsidTr="000F6896">
        <w:tc>
          <w:tcPr>
            <w:tcW w:w="9027" w:type="dxa"/>
            <w:shd w:val="clear" w:color="auto" w:fill="E2EFD9" w:themeFill="accent6" w:themeFillTint="33"/>
          </w:tcPr>
          <w:p w14:paraId="055DE0CB" w14:textId="227CB8B3" w:rsidR="00D75FD5" w:rsidRPr="00D75FD5" w:rsidRDefault="00D75FD5" w:rsidP="00F22071">
            <w:pPr>
              <w:spacing w:before="220" w:after="220"/>
              <w:ind w:left="284" w:right="284"/>
              <w:jc w:val="both"/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</w:pPr>
            <w:r w:rsidRPr="00D75FD5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Sebbene siano consapevoli dell’esistenza di forme di violenza perpetrate online o tramite dispositivi </w:t>
            </w:r>
            <w:proofErr w:type="gramStart"/>
            <w:r w:rsidRPr="00D75FD5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comuni  quali</w:t>
            </w:r>
            <w:proofErr w:type="gramEnd"/>
            <w:r w:rsidRPr="00D75FD5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 cellulari o pc, i</w:t>
            </w:r>
            <w:r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 professionisti ammettono che non hanno conosce</w:t>
            </w:r>
            <w:r w:rsidR="00F22071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nze e competenze specifiche su </w:t>
            </w:r>
            <w:r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cyberviolenza e stalkerware, sia per quanto riguarda la rilevazione e valutazione che il lavoro con le vittime e gli autori di violenza. </w:t>
            </w:r>
            <w:r w:rsidRPr="00D75FD5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Questa mancanza di conoscenza impatta negativamente l’efficacia degli interventi</w:t>
            </w:r>
            <w:r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 di prevenzion</w:t>
            </w:r>
            <w:r w:rsidR="00F22071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e e contrasto messi in atto da Centri antiviolenza e Centri </w:t>
            </w:r>
            <w:r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per autori di violenza.</w:t>
            </w:r>
          </w:p>
          <w:p w14:paraId="04C05286" w14:textId="77777777" w:rsidR="00D75FD5" w:rsidRDefault="008C3517" w:rsidP="00EE6DD1">
            <w:pPr>
              <w:spacing w:before="220" w:after="220"/>
              <w:ind w:left="284" w:right="284"/>
              <w:jc w:val="right"/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</w:pPr>
            <w:r w:rsidRPr="00EE6DD1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 xml:space="preserve">Elena Gajotto, Project Manager </w:t>
            </w:r>
          </w:p>
          <w:p w14:paraId="67801277" w14:textId="220DC160" w:rsidR="000F6896" w:rsidRPr="00EE6DD1" w:rsidRDefault="008C3517" w:rsidP="00EE6DD1">
            <w:pPr>
              <w:spacing w:before="220" w:after="220"/>
              <w:ind w:left="284" w:right="284"/>
              <w:jc w:val="right"/>
              <w:rPr>
                <w:rFonts w:asciiTheme="majorHAnsi" w:hAnsiTheme="majorHAnsi" w:cstheme="majorHAnsi"/>
                <w:color w:val="262626" w:themeColor="text1" w:themeTint="D9"/>
                <w:sz w:val="26"/>
                <w:szCs w:val="26"/>
                <w:lang w:val="it-IT"/>
              </w:rPr>
            </w:pPr>
            <w:r w:rsidRPr="00EE6DD1"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  <w:lang w:val="it-IT"/>
              </w:rPr>
              <w:t>Una Casa per l’Uomo</w:t>
            </w:r>
          </w:p>
        </w:tc>
      </w:tr>
    </w:tbl>
    <w:p w14:paraId="788DA531" w14:textId="77777777" w:rsidR="00171599" w:rsidRPr="00EE6DD1" w:rsidRDefault="00171599" w:rsidP="00171599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38E277D7" w14:textId="48FB8BD1" w:rsidR="00171599" w:rsidRPr="00303B16" w:rsidRDefault="00303B16" w:rsidP="256EC07D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  <w:r w:rsidRPr="00303B16">
        <w:rPr>
          <w:rFonts w:asciiTheme="majorHAnsi" w:hAnsiTheme="majorHAnsi"/>
          <w:color w:val="000000" w:themeColor="text1"/>
          <w:sz w:val="22"/>
          <w:szCs w:val="22"/>
          <w:lang w:val="it-IT"/>
        </w:rPr>
        <w:t>Operatori e operatrici che d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>esider</w:t>
      </w:r>
      <w:r w:rsidR="00F22071">
        <w:rPr>
          <w:rFonts w:asciiTheme="majorHAnsi" w:hAnsiTheme="majorHAnsi"/>
          <w:color w:val="000000" w:themeColor="text1"/>
          <w:sz w:val="22"/>
          <w:szCs w:val="22"/>
          <w:lang w:val="it-IT"/>
        </w:rPr>
        <w:t>i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 xml:space="preserve">no partecipare alla formazione devono </w:t>
      </w:r>
      <w:r w:rsidRPr="00303B16">
        <w:rPr>
          <w:rFonts w:asciiTheme="majorHAnsi" w:hAnsiTheme="majorHAnsi"/>
          <w:b/>
          <w:bCs/>
          <w:color w:val="000000" w:themeColor="text1"/>
          <w:sz w:val="22"/>
          <w:szCs w:val="22"/>
          <w:lang w:val="it-IT"/>
        </w:rPr>
        <w:t>preregistrarsi</w:t>
      </w:r>
      <w:r>
        <w:rPr>
          <w:rFonts w:asciiTheme="majorHAnsi" w:hAnsi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  <w:lang w:val="it-IT"/>
        </w:rPr>
        <w:t>attraverso il modulo di iscrizione disponibile sul</w:t>
      </w:r>
      <w:r w:rsidR="47CDB5A1"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</w:t>
      </w:r>
      <w:hyperlink r:id="rId11" w:history="1">
        <w:r w:rsidRPr="00303B16">
          <w:rPr>
            <w:rStyle w:val="Collegamentoipertestuale"/>
            <w:rFonts w:asciiTheme="majorHAnsi" w:hAnsiTheme="majorHAnsi"/>
            <w:sz w:val="22"/>
            <w:szCs w:val="22"/>
            <w:lang w:val="it-IT"/>
          </w:rPr>
          <w:t>sito di DeStalk</w:t>
        </w:r>
      </w:hyperlink>
      <w:r w:rsidR="00B53D99"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. </w:t>
      </w:r>
    </w:p>
    <w:p w14:paraId="12BB55D5" w14:textId="37D897D5" w:rsidR="00225FD4" w:rsidRPr="00303B16" w:rsidRDefault="00225FD4" w:rsidP="256EC07D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26303EF2" w14:textId="51FA4198" w:rsidR="00225FD4" w:rsidRPr="00303B16" w:rsidRDefault="00303B16" w:rsidP="00225FD4">
      <w:pPr>
        <w:spacing w:line="360" w:lineRule="auto"/>
        <w:rPr>
          <w:color w:val="22315F"/>
          <w:sz w:val="28"/>
          <w:szCs w:val="28"/>
          <w:lang w:val="it-IT"/>
        </w:rPr>
      </w:pPr>
      <w:r w:rsidRPr="00303B16">
        <w:rPr>
          <w:color w:val="22315F"/>
          <w:sz w:val="28"/>
          <w:szCs w:val="28"/>
          <w:lang w:val="it-IT"/>
        </w:rPr>
        <w:t>La</w:t>
      </w:r>
      <w:r w:rsidR="00225FD4" w:rsidRPr="00303B16">
        <w:rPr>
          <w:color w:val="22315F"/>
          <w:sz w:val="28"/>
          <w:szCs w:val="28"/>
          <w:lang w:val="it-IT"/>
        </w:rPr>
        <w:t xml:space="preserve"> partnership  </w:t>
      </w:r>
    </w:p>
    <w:p w14:paraId="71309D6B" w14:textId="35D10596" w:rsidR="00303B16" w:rsidRPr="00303B16" w:rsidRDefault="00303B16" w:rsidP="00303B16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DeStalk 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è un progetto europeo che vede la</w:t>
      </w: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collaborazione di un gruppo di lavoro internazionale e interdisciplinare:  </w:t>
      </w:r>
    </w:p>
    <w:p w14:paraId="71140735" w14:textId="77777777" w:rsidR="00303B16" w:rsidRPr="00303B16" w:rsidRDefault="00303B16" w:rsidP="00303B16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2865677A" w14:textId="77777777" w:rsidR="00303B16" w:rsidRPr="00303B16" w:rsidRDefault="00303B16" w:rsidP="00303B16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•</w:t>
      </w: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ab/>
      </w:r>
      <w:proofErr w:type="spellStart"/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Fundación</w:t>
      </w:r>
      <w:proofErr w:type="spellEnd"/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</w:t>
      </w:r>
      <w:proofErr w:type="spellStart"/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Blanquerna</w:t>
      </w:r>
      <w:proofErr w:type="spellEnd"/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- ente di ricerca della Facoltà di Psicologia, Educazione e Scienze dello Sport dell'Università Ramon Llull, Spagna (Coordinamento e supporto scientifico) </w:t>
      </w:r>
    </w:p>
    <w:p w14:paraId="553F8A76" w14:textId="77777777" w:rsidR="00303B16" w:rsidRPr="00303B16" w:rsidRDefault="00303B16" w:rsidP="00303B16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•</w:t>
      </w: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ab/>
        <w:t>Kaspersky - una società di sicurezza informatica leader a livello mondiale (Sviluppo di e-learning e competenza sui contenuti informatici)</w:t>
      </w:r>
    </w:p>
    <w:p w14:paraId="01AFB43A" w14:textId="77777777" w:rsidR="00303B16" w:rsidRPr="00303B16" w:rsidRDefault="00303B16" w:rsidP="00303B16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•</w:t>
      </w: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ab/>
        <w:t>Regione del Veneto – U.O. Cooperazione Internazionale (Campagna di comunicazione pilota e prospettiva istituzionale)</w:t>
      </w:r>
    </w:p>
    <w:p w14:paraId="4CA1C300" w14:textId="77777777" w:rsidR="00303B16" w:rsidRPr="00303B16" w:rsidRDefault="00303B16" w:rsidP="00303B16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•</w:t>
      </w: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ab/>
        <w:t>Una Casa per l'Uomo - ente del terzo settore che lavora con le vittime e gli autori di violenza in Veneto (Formazione di professionisti di centri antiviolenza e centri per il trattamento degli uomini autori di violenza)</w:t>
      </w:r>
    </w:p>
    <w:p w14:paraId="45EB0B66" w14:textId="74C2BE1A" w:rsidR="00225FD4" w:rsidRPr="00303B16" w:rsidRDefault="00303B16" w:rsidP="00303B16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•</w:t>
      </w:r>
      <w:r w:rsidRPr="00303B16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ab/>
        <w:t>WWP EN associazione ombrello europea dei programmi per il trattamento degli autori di violenza (Diffusione e conoscenza della violenza di genere)</w:t>
      </w:r>
    </w:p>
    <w:p w14:paraId="41D3747C" w14:textId="68288C71" w:rsidR="00965457" w:rsidRPr="00303B16" w:rsidRDefault="00965457" w:rsidP="00965457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2B2F80AC" w14:textId="1E5BF72D" w:rsidR="00965457" w:rsidRPr="00A65E9A" w:rsidRDefault="00A65E9A" w:rsidP="00965457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  <w:r w:rsidRPr="00A65E9A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Per saperne di pi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>ù su</w:t>
      </w:r>
      <w:r w:rsidR="00965457" w:rsidRPr="00A65E9A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</w:t>
      </w:r>
      <w:hyperlink r:id="rId12" w:history="1">
        <w:r w:rsidR="00965457" w:rsidRPr="00A65E9A">
          <w:rPr>
            <w:rStyle w:val="Collegamentoipertestuale"/>
            <w:rFonts w:asciiTheme="majorHAnsi" w:hAnsiTheme="majorHAnsi"/>
            <w:sz w:val="22"/>
            <w:szCs w:val="22"/>
            <w:lang w:val="it-IT"/>
          </w:rPr>
          <w:t>DeStalk</w:t>
        </w:r>
      </w:hyperlink>
      <w:r w:rsidR="00965457" w:rsidRPr="00A65E9A"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  <w:t xml:space="preserve">  </w:t>
      </w:r>
    </w:p>
    <w:p w14:paraId="3726788E" w14:textId="59EBABF0" w:rsidR="007A54EF" w:rsidRPr="00A65E9A" w:rsidRDefault="007A54EF" w:rsidP="007A54EF">
      <w:pPr>
        <w:spacing w:line="360" w:lineRule="auto"/>
        <w:ind w:left="360" w:firstLine="708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412FF38C" w14:textId="679F2822" w:rsidR="007A54EF" w:rsidRPr="00A65E9A" w:rsidRDefault="007A54EF" w:rsidP="007A54EF">
      <w:pPr>
        <w:spacing w:line="360" w:lineRule="auto"/>
        <w:ind w:left="360" w:firstLine="708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5FD39E3B" w14:textId="546A1D44" w:rsidR="007A54EF" w:rsidRPr="00A65E9A" w:rsidRDefault="007A54EF" w:rsidP="007A54EF">
      <w:pPr>
        <w:spacing w:line="360" w:lineRule="auto"/>
        <w:ind w:left="360" w:firstLine="708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05F19FC2" w14:textId="218A9817" w:rsidR="007A54EF" w:rsidRPr="00A65E9A" w:rsidRDefault="007A54EF" w:rsidP="007A54EF">
      <w:pPr>
        <w:spacing w:line="360" w:lineRule="auto"/>
        <w:ind w:left="360" w:firstLine="708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2433D154" w14:textId="28AD0247" w:rsidR="007A54EF" w:rsidRPr="00A65E9A" w:rsidRDefault="007A54EF" w:rsidP="007A54EF">
      <w:pPr>
        <w:spacing w:line="360" w:lineRule="auto"/>
        <w:ind w:left="360" w:firstLine="708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103D14DE" w14:textId="12564F89" w:rsidR="00216F0F" w:rsidRPr="00A65E9A" w:rsidRDefault="00216F0F" w:rsidP="007A54EF">
      <w:pPr>
        <w:spacing w:line="360" w:lineRule="auto"/>
        <w:ind w:left="360" w:firstLine="708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p w14:paraId="0B459CDA" w14:textId="77777777" w:rsidR="00225FD4" w:rsidRPr="00A65E9A" w:rsidRDefault="00225FD4" w:rsidP="256EC07D">
      <w:pPr>
        <w:spacing w:line="360" w:lineRule="auto"/>
        <w:rPr>
          <w:rFonts w:asciiTheme="majorHAnsi" w:hAnsiTheme="majorHAnsi"/>
          <w:color w:val="262626" w:themeColor="text1" w:themeTint="D9"/>
          <w:sz w:val="22"/>
          <w:szCs w:val="22"/>
          <w:lang w:val="it-IT"/>
        </w:rPr>
      </w:pPr>
    </w:p>
    <w:sectPr w:rsidR="00225FD4" w:rsidRPr="00A65E9A" w:rsidSect="00EE6DD1">
      <w:headerReference w:type="default" r:id="rId13"/>
      <w:footerReference w:type="default" r:id="rId14"/>
      <w:pgSz w:w="11900" w:h="16840"/>
      <w:pgMar w:top="2268" w:right="126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0A39" w14:textId="77777777" w:rsidR="002912B6" w:rsidRDefault="002912B6" w:rsidP="00A42F53">
      <w:r>
        <w:separator/>
      </w:r>
    </w:p>
  </w:endnote>
  <w:endnote w:type="continuationSeparator" w:id="0">
    <w:p w14:paraId="0A1DADDC" w14:textId="77777777" w:rsidR="002912B6" w:rsidRDefault="002912B6" w:rsidP="00A42F53">
      <w:r>
        <w:continuationSeparator/>
      </w:r>
    </w:p>
  </w:endnote>
  <w:endnote w:id="1">
    <w:p w14:paraId="6B8EC528" w14:textId="77777777" w:rsidR="00206823" w:rsidRPr="00216F0F" w:rsidRDefault="00206823" w:rsidP="00206823">
      <w:pPr>
        <w:pStyle w:val="Testonotadichiusura"/>
        <w:rPr>
          <w:rFonts w:ascii="Arial" w:hAnsi="Arial" w:cs="Arial"/>
          <w:sz w:val="18"/>
          <w:szCs w:val="18"/>
          <w:lang w:val="en-GB"/>
        </w:rPr>
      </w:pPr>
      <w:r w:rsidRPr="00216F0F">
        <w:rPr>
          <w:rStyle w:val="Rimandonotadichiusura"/>
          <w:rFonts w:ascii="Arial" w:hAnsi="Arial" w:cs="Arial"/>
          <w:sz w:val="18"/>
          <w:szCs w:val="18"/>
        </w:rPr>
        <w:endnoteRef/>
      </w:r>
      <w:r w:rsidRPr="00216F0F">
        <w:rPr>
          <w:rFonts w:ascii="Arial" w:hAnsi="Arial" w:cs="Arial"/>
          <w:sz w:val="18"/>
          <w:szCs w:val="18"/>
        </w:rPr>
        <w:t xml:space="preserve"> European Institute for Gender Equality, 2017, “</w:t>
      </w:r>
      <w:hyperlink r:id="rId1" w:history="1">
        <w:r w:rsidRPr="00216F0F">
          <w:rPr>
            <w:rStyle w:val="Collegamentoipertestuale"/>
            <w:rFonts w:ascii="Arial" w:hAnsi="Arial" w:cs="Arial"/>
            <w:sz w:val="18"/>
            <w:szCs w:val="18"/>
          </w:rPr>
          <w:t>Cyber violence against women and girls</w:t>
        </w:r>
      </w:hyperlink>
      <w:r w:rsidRPr="00216F0F">
        <w:rPr>
          <w:rFonts w:ascii="Arial" w:hAnsi="Arial" w:cs="Arial"/>
          <w:sz w:val="18"/>
          <w:szCs w:val="18"/>
        </w:rPr>
        <w:t xml:space="preserve">” </w:t>
      </w:r>
    </w:p>
  </w:endnote>
  <w:endnote w:id="2">
    <w:p w14:paraId="2A713ED2" w14:textId="77777777" w:rsidR="00206823" w:rsidRPr="00216F0F" w:rsidRDefault="00206823" w:rsidP="00206823">
      <w:pPr>
        <w:pStyle w:val="Testonotadichiusura"/>
        <w:rPr>
          <w:rFonts w:ascii="Arial" w:hAnsi="Arial" w:cs="Arial"/>
          <w:lang w:val="en-GB"/>
        </w:rPr>
      </w:pPr>
      <w:r w:rsidRPr="00216F0F">
        <w:rPr>
          <w:rStyle w:val="Rimandonotadichiusura"/>
          <w:rFonts w:ascii="Arial" w:hAnsi="Arial" w:cs="Arial"/>
          <w:sz w:val="18"/>
          <w:szCs w:val="18"/>
        </w:rPr>
        <w:endnoteRef/>
      </w:r>
      <w:r w:rsidRPr="00216F0F">
        <w:rPr>
          <w:rFonts w:ascii="Arial" w:hAnsi="Arial" w:cs="Arial"/>
          <w:sz w:val="18"/>
          <w:szCs w:val="18"/>
        </w:rPr>
        <w:t xml:space="preserve"> Kaspersky, 2021, “</w:t>
      </w:r>
      <w:hyperlink r:id="rId2" w:history="1">
        <w:r w:rsidRPr="00216F0F">
          <w:rPr>
            <w:rStyle w:val="Collegamentoipertestuale"/>
            <w:rFonts w:ascii="Arial" w:hAnsi="Arial" w:cs="Arial"/>
            <w:sz w:val="18"/>
            <w:szCs w:val="18"/>
          </w:rPr>
          <w:t>The State of Stalkerware 2020</w:t>
        </w:r>
      </w:hyperlink>
      <w:r w:rsidRPr="00216F0F">
        <w:rPr>
          <w:rFonts w:ascii="Arial" w:hAnsi="Arial" w:cs="Arial"/>
          <w:sz w:val="18"/>
          <w:szCs w:val="18"/>
        </w:rPr>
        <w:t xml:space="preserve">”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Theme="majorHAnsi" w:hAnsiTheme="majorHAnsi" w:cstheme="majorHAnsi"/>
        <w:color w:val="7F7F7F" w:themeColor="text1" w:themeTint="80"/>
        <w:sz w:val="22"/>
        <w:szCs w:val="22"/>
      </w:rPr>
      <w:id w:val="160684369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C4B6907" w14:textId="722035F3" w:rsidR="00203A12" w:rsidRPr="00F44A7A" w:rsidRDefault="00203A12" w:rsidP="00203A12">
        <w:pPr>
          <w:pStyle w:val="Pidipagina"/>
          <w:framePr w:wrap="none" w:vAnchor="text" w:hAnchor="page" w:x="10141" w:y="-718"/>
          <w:rPr>
            <w:rStyle w:val="Numeropagina"/>
            <w:rFonts w:asciiTheme="majorHAnsi" w:hAnsiTheme="majorHAnsi" w:cstheme="majorHAnsi"/>
            <w:color w:val="7F7F7F" w:themeColor="text1" w:themeTint="80"/>
            <w:sz w:val="22"/>
            <w:szCs w:val="22"/>
          </w:rPr>
        </w:pPr>
        <w:r w:rsidRPr="00F44A7A">
          <w:rPr>
            <w:rStyle w:val="Numeropagina"/>
            <w:rFonts w:asciiTheme="majorHAnsi" w:hAnsiTheme="majorHAnsi" w:cstheme="majorHAnsi"/>
            <w:color w:val="7F7F7F" w:themeColor="text1" w:themeTint="80"/>
            <w:sz w:val="22"/>
            <w:szCs w:val="22"/>
          </w:rPr>
          <w:fldChar w:fldCharType="begin"/>
        </w:r>
        <w:r w:rsidRPr="00F44A7A">
          <w:rPr>
            <w:rStyle w:val="Numeropagina"/>
            <w:rFonts w:asciiTheme="majorHAnsi" w:hAnsiTheme="majorHAnsi" w:cstheme="majorHAnsi"/>
            <w:color w:val="7F7F7F" w:themeColor="text1" w:themeTint="80"/>
            <w:sz w:val="22"/>
            <w:szCs w:val="22"/>
          </w:rPr>
          <w:instrText xml:space="preserve"> PAGE </w:instrText>
        </w:r>
        <w:r w:rsidRPr="00F44A7A">
          <w:rPr>
            <w:rStyle w:val="Numeropagina"/>
            <w:rFonts w:asciiTheme="majorHAnsi" w:hAnsiTheme="majorHAnsi" w:cstheme="majorHAnsi"/>
            <w:color w:val="7F7F7F" w:themeColor="text1" w:themeTint="80"/>
            <w:sz w:val="22"/>
            <w:szCs w:val="22"/>
          </w:rPr>
          <w:fldChar w:fldCharType="separate"/>
        </w:r>
        <w:r w:rsidR="00F22071">
          <w:rPr>
            <w:rStyle w:val="Numeropagina"/>
            <w:rFonts w:asciiTheme="majorHAnsi" w:hAnsiTheme="majorHAnsi" w:cstheme="majorHAnsi"/>
            <w:noProof/>
            <w:color w:val="7F7F7F" w:themeColor="text1" w:themeTint="80"/>
            <w:sz w:val="22"/>
            <w:szCs w:val="22"/>
          </w:rPr>
          <w:t>4</w:t>
        </w:r>
        <w:r w:rsidRPr="00F44A7A">
          <w:rPr>
            <w:rStyle w:val="Numeropagina"/>
            <w:rFonts w:asciiTheme="majorHAnsi" w:hAnsiTheme="majorHAnsi" w:cstheme="majorHAnsi"/>
            <w:color w:val="7F7F7F" w:themeColor="text1" w:themeTint="80"/>
            <w:sz w:val="22"/>
            <w:szCs w:val="22"/>
          </w:rPr>
          <w:fldChar w:fldCharType="end"/>
        </w:r>
      </w:p>
    </w:sdtContent>
  </w:sdt>
  <w:p w14:paraId="0FEF0B7A" w14:textId="4600E2CA" w:rsidR="00A42F53" w:rsidRPr="00A42F53" w:rsidRDefault="007825EB" w:rsidP="00A42F53">
    <w:pPr>
      <w:pStyle w:val="Pidipagina"/>
    </w:pPr>
    <w:r>
      <w:rPr>
        <w:rFonts w:hint="eastAsia"/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1BC6794D" wp14:editId="037996A8">
          <wp:simplePos x="0" y="0"/>
          <wp:positionH relativeFrom="column">
            <wp:posOffset>-50577</wp:posOffset>
          </wp:positionH>
          <wp:positionV relativeFrom="paragraph">
            <wp:posOffset>-207280</wp:posOffset>
          </wp:positionV>
          <wp:extent cx="5806179" cy="462604"/>
          <wp:effectExtent l="0" t="0" r="0" b="0"/>
          <wp:wrapNone/>
          <wp:docPr id="8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4594" cy="463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A12">
      <w:rPr>
        <w:rFonts w:hint="eastAsia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760C74" wp14:editId="64FE0784">
              <wp:simplePos x="0" y="0"/>
              <wp:positionH relativeFrom="column">
                <wp:posOffset>-11430</wp:posOffset>
              </wp:positionH>
              <wp:positionV relativeFrom="paragraph">
                <wp:posOffset>-367665</wp:posOffset>
              </wp:positionV>
              <wp:extent cx="53721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7B148A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-28.95pt" to="422.1pt,-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Tj4gEAACcEAAAOAAAAZHJzL2Uyb0RvYy54bWysU02P2yAQvVfqf0DcGzupNltZcfaQ1fbS&#10;j6i7/QEEg40EDBrYOPn3HXDiXbWVqla9YA/MvDfvMWzuTs6yo8JowLd8uag5U15CZ3zf8u9PD+8+&#10;cBaT8J2w4FXLzyryu+3bN5sxNGoFA9hOISMQH5sxtHxIKTRVFeWgnIgLCMrToQZ0IlGIfdWhGAnd&#10;2WpV1+tqBOwCglQx0u79dMi3BV9rJdNXraNKzLacektlxbIe8lptN6LpUYTByEsb4h+6cMJ4Ip2h&#10;7kUS7BnNL1DOSIQIOi0kuAq0NlIVDaRmWf+k5nEQQRUtZE4Ms03x/8HKL8c9MtO1fM2ZF46u6DGh&#10;MP2Q2A68JwMB2Tr7NIbYUPrO7/ESxbDHLPqk0eUvyWGn4u159ladEpO0efP+drWs6Qrk9ax6KQwY&#10;00cFjuWfllvjs2zRiOOnmIiMUq8pedv6vEawpnsw1pYgD4zaWWRHQVd96FcFwD67z9BNe7c3NfFP&#10;aGW+cnrBfoVETBm9ymIneeUvna2amL8pTXaRoGUhmIEmDiGl8ml5YbGesnOZpi7nwvrPhZf8XKrK&#10;EP9N8VxRmMGnudgZD/g79nS6tqyn/KsDk+5swQG6c7n4Yg1NY3Hu8nLyuL+OS/nL+97+AAAA//8D&#10;AFBLAwQUAAYACAAAACEAzMIqauAAAAAKAQAADwAAAGRycy9kb3ducmV2LnhtbEyPQU/DMAyF70j8&#10;h8hIXKYt3VRGKU2nUUBcuLBy4Jg1pq1onNBkW/n3GAkJTpafn977XGwmO4gjjqF3pGC5SEAgNc70&#10;1Cp4rR/nGYgQNRk9OEIFXxhgU56fFTo37kQveNzFVnAIhVwr6GL0uZSh6dDqsHAeiW/vbrQ68jq2&#10;0oz6xOF2kKskWUure+KGTnusOmw+dgerIJvFz+rtyafbsZ/557v1/UNd1UpdXkzbWxARp/hnhh98&#10;RoeSmfbuQCaIQcF8yeSR59X1DQg2ZGm6ArH/VWRZyP8vlN8AAAD//wMAUEsBAi0AFAAGAAgAAAAh&#10;ALaDOJL+AAAA4QEAABMAAAAAAAAAAAAAAAAAAAAAAFtDb250ZW50X1R5cGVzXS54bWxQSwECLQAU&#10;AAYACAAAACEAOP0h/9YAAACUAQAACwAAAAAAAAAAAAAAAAAvAQAAX3JlbHMvLnJlbHNQSwECLQAU&#10;AAYACAAAACEACaQE4+IBAAAnBAAADgAAAAAAAAAAAAAAAAAuAgAAZHJzL2Uyb0RvYy54bWxQSwEC&#10;LQAUAAYACAAAACEAzMIqauAAAAAKAQAADwAAAAAAAAAAAAAAAAA8BAAAZHJzL2Rvd25yZXYueG1s&#10;UEsFBgAAAAAEAAQA8wAAAEkFAAAAAA==&#10;" strokecolor="#aeaaaa [24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A007" w14:textId="77777777" w:rsidR="002912B6" w:rsidRDefault="002912B6" w:rsidP="00A42F53">
      <w:r>
        <w:separator/>
      </w:r>
    </w:p>
  </w:footnote>
  <w:footnote w:type="continuationSeparator" w:id="0">
    <w:p w14:paraId="2B7418EB" w14:textId="77777777" w:rsidR="002912B6" w:rsidRDefault="002912B6" w:rsidP="00A4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19F5" w14:textId="09D34C12" w:rsidR="00A42F53" w:rsidRPr="00A42F53" w:rsidRDefault="007825EB" w:rsidP="00A42F53">
    <w:pPr>
      <w:pStyle w:val="Intestazione"/>
    </w:pPr>
    <w:r>
      <w:rPr>
        <w:rFonts w:hint="eastAsia"/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72953986" wp14:editId="4CFBF123">
          <wp:simplePos x="0" y="0"/>
          <wp:positionH relativeFrom="column">
            <wp:posOffset>3867150</wp:posOffset>
          </wp:positionH>
          <wp:positionV relativeFrom="paragraph">
            <wp:posOffset>126365</wp:posOffset>
          </wp:positionV>
          <wp:extent cx="1890395" cy="465455"/>
          <wp:effectExtent l="0" t="0" r="1905" b="4445"/>
          <wp:wrapThrough wrapText="bothSides">
            <wp:wrapPolygon edited="0">
              <wp:start x="0" y="0"/>
              <wp:lineTo x="0" y="21217"/>
              <wp:lineTo x="21477" y="21217"/>
              <wp:lineTo x="21477" y="0"/>
              <wp:lineTo x="0" y="0"/>
            </wp:wrapPolygon>
          </wp:wrapThrough>
          <wp:docPr id="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39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A12">
      <w:rPr>
        <w:rFonts w:hint="eastAsia"/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7ACA475C" wp14:editId="1B420B8C">
          <wp:simplePos x="0" y="0"/>
          <wp:positionH relativeFrom="column">
            <wp:posOffset>-176530</wp:posOffset>
          </wp:positionH>
          <wp:positionV relativeFrom="paragraph">
            <wp:posOffset>56515</wp:posOffset>
          </wp:positionV>
          <wp:extent cx="2116850" cy="705616"/>
          <wp:effectExtent l="0" t="0" r="4445" b="5715"/>
          <wp:wrapNone/>
          <wp:docPr id="8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16850" cy="705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D47"/>
    <w:multiLevelType w:val="hybridMultilevel"/>
    <w:tmpl w:val="3750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2EA1"/>
    <w:multiLevelType w:val="hybridMultilevel"/>
    <w:tmpl w:val="320E88B6"/>
    <w:lvl w:ilvl="0" w:tplc="7D9A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1FF5"/>
    <w:multiLevelType w:val="hybridMultilevel"/>
    <w:tmpl w:val="7F7AD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70C20"/>
    <w:multiLevelType w:val="hybridMultilevel"/>
    <w:tmpl w:val="CD20FBF0"/>
    <w:lvl w:ilvl="0" w:tplc="7D9A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7DB9"/>
    <w:multiLevelType w:val="hybridMultilevel"/>
    <w:tmpl w:val="DC6254C8"/>
    <w:lvl w:ilvl="0" w:tplc="EC04DE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82E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89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ED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22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66E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24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D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CB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75A8"/>
    <w:multiLevelType w:val="hybridMultilevel"/>
    <w:tmpl w:val="DF705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14FEA"/>
    <w:multiLevelType w:val="hybridMultilevel"/>
    <w:tmpl w:val="2D14DF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53"/>
    <w:rsid w:val="00016B79"/>
    <w:rsid w:val="0009539F"/>
    <w:rsid w:val="000E64A2"/>
    <w:rsid w:val="000F556A"/>
    <w:rsid w:val="000F6896"/>
    <w:rsid w:val="00143046"/>
    <w:rsid w:val="001460F6"/>
    <w:rsid w:val="00162451"/>
    <w:rsid w:val="00170F7B"/>
    <w:rsid w:val="00171599"/>
    <w:rsid w:val="001B0EFE"/>
    <w:rsid w:val="001C651E"/>
    <w:rsid w:val="001D5B30"/>
    <w:rsid w:val="001E1F0C"/>
    <w:rsid w:val="001F1035"/>
    <w:rsid w:val="00203A12"/>
    <w:rsid w:val="00206823"/>
    <w:rsid w:val="00216F0F"/>
    <w:rsid w:val="00225FD4"/>
    <w:rsid w:val="00226413"/>
    <w:rsid w:val="00245478"/>
    <w:rsid w:val="00255572"/>
    <w:rsid w:val="00262021"/>
    <w:rsid w:val="002912B6"/>
    <w:rsid w:val="00295C4F"/>
    <w:rsid w:val="002B7061"/>
    <w:rsid w:val="002C745D"/>
    <w:rsid w:val="002D725E"/>
    <w:rsid w:val="00303B16"/>
    <w:rsid w:val="00321865"/>
    <w:rsid w:val="00354262"/>
    <w:rsid w:val="00364888"/>
    <w:rsid w:val="00377219"/>
    <w:rsid w:val="003A79A8"/>
    <w:rsid w:val="003C4705"/>
    <w:rsid w:val="003E5DC0"/>
    <w:rsid w:val="003F2018"/>
    <w:rsid w:val="003F7AE6"/>
    <w:rsid w:val="00412D1C"/>
    <w:rsid w:val="004A7022"/>
    <w:rsid w:val="004B3652"/>
    <w:rsid w:val="004D004C"/>
    <w:rsid w:val="004F5CD8"/>
    <w:rsid w:val="00504FDB"/>
    <w:rsid w:val="005219B5"/>
    <w:rsid w:val="00577B0B"/>
    <w:rsid w:val="005D22F8"/>
    <w:rsid w:val="00610045"/>
    <w:rsid w:val="00626DDD"/>
    <w:rsid w:val="006374FF"/>
    <w:rsid w:val="007720D3"/>
    <w:rsid w:val="007825EB"/>
    <w:rsid w:val="00797402"/>
    <w:rsid w:val="007A27CB"/>
    <w:rsid w:val="007A54EF"/>
    <w:rsid w:val="007C227C"/>
    <w:rsid w:val="007C4C31"/>
    <w:rsid w:val="007D2F51"/>
    <w:rsid w:val="008041BF"/>
    <w:rsid w:val="008C3517"/>
    <w:rsid w:val="008F0DE4"/>
    <w:rsid w:val="009001AE"/>
    <w:rsid w:val="00965457"/>
    <w:rsid w:val="009741AD"/>
    <w:rsid w:val="00994594"/>
    <w:rsid w:val="009B02FE"/>
    <w:rsid w:val="009C1030"/>
    <w:rsid w:val="00A076FD"/>
    <w:rsid w:val="00A42F53"/>
    <w:rsid w:val="00A516EC"/>
    <w:rsid w:val="00A56D21"/>
    <w:rsid w:val="00A65E9A"/>
    <w:rsid w:val="00A72833"/>
    <w:rsid w:val="00A74013"/>
    <w:rsid w:val="00A82633"/>
    <w:rsid w:val="00A86A2C"/>
    <w:rsid w:val="00B2321C"/>
    <w:rsid w:val="00B31CF6"/>
    <w:rsid w:val="00B5240A"/>
    <w:rsid w:val="00B53D99"/>
    <w:rsid w:val="00BC2EE4"/>
    <w:rsid w:val="00C026FE"/>
    <w:rsid w:val="00C35DFE"/>
    <w:rsid w:val="00C4685D"/>
    <w:rsid w:val="00C745A9"/>
    <w:rsid w:val="00C909A2"/>
    <w:rsid w:val="00C9397E"/>
    <w:rsid w:val="00CD099F"/>
    <w:rsid w:val="00CE6697"/>
    <w:rsid w:val="00D20A14"/>
    <w:rsid w:val="00D2473B"/>
    <w:rsid w:val="00D752C3"/>
    <w:rsid w:val="00D75FD5"/>
    <w:rsid w:val="00D8413B"/>
    <w:rsid w:val="00DA2B91"/>
    <w:rsid w:val="00DB2DEC"/>
    <w:rsid w:val="00DF24E9"/>
    <w:rsid w:val="00E9281B"/>
    <w:rsid w:val="00E928F6"/>
    <w:rsid w:val="00EA4951"/>
    <w:rsid w:val="00EB3C4F"/>
    <w:rsid w:val="00EB5E14"/>
    <w:rsid w:val="00EE6DD1"/>
    <w:rsid w:val="00F03B05"/>
    <w:rsid w:val="00F22071"/>
    <w:rsid w:val="00F266BB"/>
    <w:rsid w:val="00F86565"/>
    <w:rsid w:val="00F95283"/>
    <w:rsid w:val="00FB3C24"/>
    <w:rsid w:val="00FD0BDE"/>
    <w:rsid w:val="00FD0DDF"/>
    <w:rsid w:val="00FD53D6"/>
    <w:rsid w:val="00FF6EFF"/>
    <w:rsid w:val="02373E31"/>
    <w:rsid w:val="031AB642"/>
    <w:rsid w:val="078655BB"/>
    <w:rsid w:val="0A88DE16"/>
    <w:rsid w:val="0FE03DDA"/>
    <w:rsid w:val="1B1D0672"/>
    <w:rsid w:val="203D68B1"/>
    <w:rsid w:val="256EC07D"/>
    <w:rsid w:val="299674E0"/>
    <w:rsid w:val="2DB88C1A"/>
    <w:rsid w:val="30617068"/>
    <w:rsid w:val="307580B2"/>
    <w:rsid w:val="309AEFF2"/>
    <w:rsid w:val="432511BC"/>
    <w:rsid w:val="47CDB5A1"/>
    <w:rsid w:val="4C0D6A48"/>
    <w:rsid w:val="4D3BA6EE"/>
    <w:rsid w:val="4DFD4160"/>
    <w:rsid w:val="5857F8EB"/>
    <w:rsid w:val="5A98864B"/>
    <w:rsid w:val="5B2367B3"/>
    <w:rsid w:val="5F0BD5C8"/>
    <w:rsid w:val="5FB2CBF8"/>
    <w:rsid w:val="678A3E6C"/>
    <w:rsid w:val="67E78E15"/>
    <w:rsid w:val="6B8945F8"/>
    <w:rsid w:val="6C5B9A64"/>
    <w:rsid w:val="6DA49344"/>
    <w:rsid w:val="6DE0C122"/>
    <w:rsid w:val="6F9CE5C9"/>
    <w:rsid w:val="7031DAC6"/>
    <w:rsid w:val="73961901"/>
    <w:rsid w:val="73C044C6"/>
    <w:rsid w:val="765C461E"/>
    <w:rsid w:val="77A2B5E1"/>
    <w:rsid w:val="78EDD1B0"/>
    <w:rsid w:val="7E049E11"/>
    <w:rsid w:val="7ED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BF85A"/>
  <w14:defaultImageDpi w14:val="300"/>
  <w15:docId w15:val="{5810766E-4A31-4253-84F0-0B1FE59D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2F53"/>
    <w:pPr>
      <w:tabs>
        <w:tab w:val="center" w:pos="4703"/>
        <w:tab w:val="right" w:pos="94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F53"/>
  </w:style>
  <w:style w:type="paragraph" w:styleId="Pidipagina">
    <w:name w:val="footer"/>
    <w:basedOn w:val="Normale"/>
    <w:link w:val="PidipaginaCarattere"/>
    <w:uiPriority w:val="99"/>
    <w:unhideWhenUsed/>
    <w:rsid w:val="00A42F53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F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F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F53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E64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459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45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3A12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203A12"/>
  </w:style>
  <w:style w:type="table" w:styleId="Grigliatabella">
    <w:name w:val="Table Grid"/>
    <w:basedOn w:val="Tabellanormale"/>
    <w:uiPriority w:val="59"/>
    <w:rsid w:val="000F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741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41A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41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1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41AD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3D99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35DF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35DF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35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849">
          <w:marLeft w:val="0"/>
          <w:marRight w:val="0"/>
          <w:marTop w:val="0"/>
          <w:marBottom w:val="0"/>
          <w:divBdr>
            <w:top w:val="single" w:sz="6" w:space="12" w:color="E5E5E5"/>
            <w:left w:val="none" w:sz="0" w:space="12" w:color="auto"/>
            <w:bottom w:val="none" w:sz="0" w:space="12" w:color="auto"/>
            <w:right w:val="none" w:sz="0" w:space="12" w:color="auto"/>
          </w:divBdr>
        </w:div>
      </w:divsChild>
    </w:div>
    <w:div w:id="532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ork-with-perpetrators.eu/destal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k-with-perpetrators.eu/destal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dia.kasperskycontenthub.com/wp-content/uploads/sites/100/2020/03/25175212/EN_The-State-of-Stalkerware-2020.pdf" TargetMode="External"/><Relationship Id="rId1" Type="http://schemas.openxmlformats.org/officeDocument/2006/relationships/hyperlink" Target="https://eige.europa.eu/publications/cyber-violence-against-women-and-gir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C3678E85D95D4C9916E904F2A85A0A" ma:contentTypeVersion="12" ma:contentTypeDescription="Creare un nuovo documento." ma:contentTypeScope="" ma:versionID="fd09da066d3c015fd253406152990a0d">
  <xsd:schema xmlns:xsd="http://www.w3.org/2001/XMLSchema" xmlns:xs="http://www.w3.org/2001/XMLSchema" xmlns:p="http://schemas.microsoft.com/office/2006/metadata/properties" xmlns:ns2="a1d4831a-8f56-4944-bd74-c9e8de787b9c" xmlns:ns3="4e662550-def2-4db1-af46-aa2eaac35a63" targetNamespace="http://schemas.microsoft.com/office/2006/metadata/properties" ma:root="true" ma:fieldsID="0a4a37f8db8243c9195dc62e576a3705" ns2:_="" ns3:_="">
    <xsd:import namespace="a1d4831a-8f56-4944-bd74-c9e8de787b9c"/>
    <xsd:import namespace="4e662550-def2-4db1-af46-aa2eaac35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4831a-8f56-4944-bd74-c9e8de787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2550-def2-4db1-af46-aa2eaac35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1F5E0-00FE-4CD3-AE8D-504DEE00E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C98E3-06F2-4BC7-8DA9-76CD3AD55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43A4C-B49C-4C11-AB0B-9A7C57BC1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CBBCB5-1695-405D-AC92-65271959F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4831a-8f56-4944-bd74-c9e8de787b9c"/>
    <ds:schemaRef ds:uri="4e662550-def2-4db1-af46-aa2eaac35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MEMOdesign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Medvey</dc:creator>
  <cp:keywords/>
  <dc:description/>
  <cp:lastModifiedBy>Elena Gajotto</cp:lastModifiedBy>
  <cp:revision>3</cp:revision>
  <cp:lastPrinted>2020-01-14T07:49:00Z</cp:lastPrinted>
  <dcterms:created xsi:type="dcterms:W3CDTF">2021-10-20T13:10:00Z</dcterms:created>
  <dcterms:modified xsi:type="dcterms:W3CDTF">2021-10-25T12:49:00Z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0x0101000FC3678E85D95D4C9916E904F2A85A0A</vt:lpwstr>
  </property>
</Properties>
</file>